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11" w:rsidRDefault="00381511" w:rsidP="008F67E9">
      <w:pPr>
        <w:pStyle w:val="Heading1"/>
        <w:spacing w:after="120"/>
        <w:ind w:left="567" w:hanging="567"/>
        <w:rPr>
          <w:rFonts w:ascii="Arial" w:hAnsi="Arial"/>
          <w:i w:val="0"/>
          <w:color w:val="365F91" w:themeColor="accent1" w:themeShade="BF"/>
          <w:lang w:val="en-GB"/>
        </w:rPr>
      </w:pPr>
    </w:p>
    <w:p w:rsidR="00381511" w:rsidRDefault="00381511" w:rsidP="00381511">
      <w:pPr>
        <w:rPr>
          <w:lang w:val="en-GB"/>
        </w:rPr>
      </w:pPr>
    </w:p>
    <w:p w:rsidR="00381511" w:rsidRPr="008A3557" w:rsidRDefault="00381511" w:rsidP="00381511">
      <w:pPr>
        <w:rPr>
          <w:lang w:val="en-GB"/>
        </w:rPr>
      </w:pPr>
    </w:p>
    <w:p w:rsidR="00381511" w:rsidRPr="008A3557" w:rsidRDefault="00147ABA" w:rsidP="00FB5AAC">
      <w:pPr>
        <w:jc w:val="center"/>
        <w:rPr>
          <w:b/>
          <w:bCs/>
          <w:color w:val="365F91" w:themeColor="accent1" w:themeShade="BF"/>
          <w:sz w:val="32"/>
          <w:szCs w:val="32"/>
        </w:rPr>
      </w:pPr>
      <w:r>
        <w:rPr>
          <w:b/>
          <w:bCs/>
          <w:color w:val="365F91" w:themeColor="accent1" w:themeShade="BF"/>
          <w:sz w:val="32"/>
          <w:szCs w:val="32"/>
        </w:rPr>
        <w:t>Craig Nevis Surgery</w:t>
      </w:r>
      <w:r w:rsidR="008F67E9">
        <w:rPr>
          <w:b/>
          <w:bCs/>
          <w:color w:val="365F91" w:themeColor="accent1" w:themeShade="BF"/>
          <w:sz w:val="32"/>
          <w:szCs w:val="32"/>
        </w:rPr>
        <w:t xml:space="preserve"> </w:t>
      </w:r>
      <w:r w:rsidR="000B529E">
        <w:rPr>
          <w:b/>
          <w:bCs/>
          <w:color w:val="365F91" w:themeColor="accent1" w:themeShade="BF"/>
          <w:sz w:val="32"/>
          <w:szCs w:val="32"/>
        </w:rPr>
        <w:t>Online Services</w:t>
      </w:r>
      <w:bookmarkStart w:id="0" w:name="_GoBack"/>
      <w:bookmarkEnd w:id="0"/>
    </w:p>
    <w:p w:rsidR="00381511" w:rsidRDefault="0024668A" w:rsidP="00FB5AAC">
      <w:pPr>
        <w:jc w:val="center"/>
        <w:rPr>
          <w:b/>
          <w:bCs/>
          <w:color w:val="365F91" w:themeColor="accent1" w:themeShade="BF"/>
          <w:sz w:val="32"/>
          <w:szCs w:val="32"/>
        </w:rPr>
      </w:pPr>
      <w:r>
        <w:rPr>
          <w:b/>
          <w:bCs/>
          <w:color w:val="365F91" w:themeColor="accent1" w:themeShade="BF"/>
          <w:sz w:val="32"/>
          <w:szCs w:val="32"/>
        </w:rPr>
        <w:t>Patient Information L</w:t>
      </w:r>
      <w:r w:rsidR="00FB5AAC">
        <w:rPr>
          <w:b/>
          <w:bCs/>
          <w:color w:val="365F91" w:themeColor="accent1" w:themeShade="BF"/>
          <w:sz w:val="32"/>
          <w:szCs w:val="32"/>
        </w:rPr>
        <w:t>eaflet</w:t>
      </w:r>
    </w:p>
    <w:p w:rsidR="0024668A" w:rsidRDefault="0024668A" w:rsidP="00FB5AAC">
      <w:pPr>
        <w:jc w:val="center"/>
        <w:rPr>
          <w:b/>
          <w:bCs/>
          <w:color w:val="365F91" w:themeColor="accent1" w:themeShade="BF"/>
          <w:sz w:val="32"/>
          <w:szCs w:val="32"/>
        </w:rPr>
      </w:pPr>
    </w:p>
    <w:p w:rsidR="001D01D9" w:rsidRPr="008A3557" w:rsidRDefault="001D01D9" w:rsidP="00381511">
      <w:pPr>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0"/>
      </w:tblGrid>
      <w:tr w:rsidR="00FB5AAC" w:rsidRPr="00394D68" w:rsidTr="00FB5AAC">
        <w:trPr>
          <w:jc w:val="center"/>
        </w:trPr>
        <w:tc>
          <w:tcPr>
            <w:tcW w:w="9250" w:type="dxa"/>
          </w:tcPr>
          <w:p w:rsidR="00FB5AAC" w:rsidRDefault="00FB5AAC" w:rsidP="00FB5AAC">
            <w:pPr>
              <w:pStyle w:val="BodyText"/>
              <w:spacing w:before="0" w:after="0" w:line="240" w:lineRule="auto"/>
              <w:jc w:val="both"/>
              <w:rPr>
                <w:rFonts w:ascii="Arial" w:hAnsi="Arial" w:cs="Arial"/>
                <w:szCs w:val="22"/>
                <w:lang w:val="en-GB"/>
              </w:rPr>
            </w:pPr>
            <w:r w:rsidRPr="001D01D9">
              <w:rPr>
                <w:rFonts w:ascii="Arial" w:hAnsi="Arial" w:cs="Arial"/>
                <w:szCs w:val="22"/>
                <w:lang w:val="en-GB"/>
              </w:rPr>
              <w:t xml:space="preserve">If you wish to, you can now use the internet to </w:t>
            </w:r>
            <w:r>
              <w:rPr>
                <w:rFonts w:ascii="Arial" w:hAnsi="Arial" w:cs="Arial"/>
                <w:szCs w:val="22"/>
                <w:lang w:val="en-GB"/>
              </w:rPr>
              <w:t xml:space="preserve">access your Repeat Prescription list and </w:t>
            </w:r>
            <w:r w:rsidRPr="001D01D9">
              <w:rPr>
                <w:rFonts w:ascii="Arial" w:hAnsi="Arial" w:cs="Arial"/>
                <w:szCs w:val="22"/>
                <w:lang w:val="en-GB"/>
              </w:rPr>
              <w:t>request repeat prescriptions for any medications you take regula</w:t>
            </w:r>
            <w:r w:rsidR="0024668A">
              <w:rPr>
                <w:rFonts w:ascii="Arial" w:hAnsi="Arial" w:cs="Arial"/>
                <w:szCs w:val="22"/>
                <w:lang w:val="en-GB"/>
              </w:rPr>
              <w:t>rly.</w:t>
            </w:r>
          </w:p>
          <w:p w:rsidR="00FB5AAC" w:rsidRPr="001D01D9" w:rsidRDefault="00FB5AAC" w:rsidP="00FB5AAC">
            <w:pPr>
              <w:pStyle w:val="BodyText"/>
              <w:spacing w:before="0" w:after="0" w:line="240" w:lineRule="auto"/>
              <w:jc w:val="both"/>
              <w:rPr>
                <w:rFonts w:ascii="Arial" w:hAnsi="Arial" w:cs="Arial"/>
                <w:szCs w:val="22"/>
                <w:lang w:val="en-GB"/>
              </w:rPr>
            </w:pPr>
          </w:p>
          <w:p w:rsidR="00FB5AAC" w:rsidRDefault="00FB5AAC" w:rsidP="00FB5AAC">
            <w:pPr>
              <w:pStyle w:val="BodyText"/>
              <w:spacing w:before="0" w:after="0" w:line="240" w:lineRule="auto"/>
              <w:jc w:val="both"/>
              <w:rPr>
                <w:rFonts w:ascii="Arial" w:hAnsi="Arial" w:cs="Arial"/>
                <w:szCs w:val="22"/>
                <w:lang w:val="en-GB"/>
              </w:rPr>
            </w:pPr>
            <w:r w:rsidRPr="001D01D9">
              <w:rPr>
                <w:rFonts w:ascii="Arial" w:hAnsi="Arial" w:cs="Arial"/>
                <w:szCs w:val="22"/>
                <w:lang w:val="en-GB"/>
              </w:rPr>
              <w:t xml:space="preserve">Being able to see your </w:t>
            </w:r>
            <w:r>
              <w:rPr>
                <w:rFonts w:ascii="Arial" w:hAnsi="Arial" w:cs="Arial"/>
                <w:szCs w:val="22"/>
                <w:lang w:val="en-GB"/>
              </w:rPr>
              <w:t>Repeat Prescriptions</w:t>
            </w:r>
            <w:r w:rsidRPr="001D01D9">
              <w:rPr>
                <w:rFonts w:ascii="Arial" w:hAnsi="Arial" w:cs="Arial"/>
                <w:szCs w:val="22"/>
                <w:lang w:val="en-GB"/>
              </w:rPr>
              <w:t xml:space="preserve"> online might help you to manage your medical conditions. It also means that you can even access it from anywhere in the world should you require medical treatment on holiday</w:t>
            </w:r>
            <w:r>
              <w:rPr>
                <w:rFonts w:ascii="Arial" w:hAnsi="Arial" w:cs="Arial"/>
                <w:szCs w:val="22"/>
                <w:lang w:val="en-GB"/>
              </w:rPr>
              <w:t xml:space="preserve"> and need this information</w:t>
            </w:r>
            <w:r w:rsidRPr="001D01D9">
              <w:rPr>
                <w:rFonts w:ascii="Arial" w:hAnsi="Arial" w:cs="Arial"/>
                <w:szCs w:val="22"/>
                <w:lang w:val="en-GB"/>
              </w:rPr>
              <w:t xml:space="preserve">. If you decide not to join or wish to withdraw, this is your choice and practice staff will continue to treat you in the same way as before. </w:t>
            </w:r>
            <w:r>
              <w:rPr>
                <w:rFonts w:ascii="Arial" w:hAnsi="Arial" w:cs="Arial"/>
                <w:szCs w:val="22"/>
                <w:lang w:val="en-GB"/>
              </w:rPr>
              <w:t>This</w:t>
            </w:r>
            <w:r w:rsidRPr="001D01D9">
              <w:rPr>
                <w:rFonts w:ascii="Arial" w:hAnsi="Arial" w:cs="Arial"/>
                <w:szCs w:val="22"/>
                <w:lang w:val="en-GB"/>
              </w:rPr>
              <w:t xml:space="preserve"> decision will not affect the quality of your care.</w:t>
            </w:r>
          </w:p>
          <w:p w:rsidR="00FB5AAC" w:rsidRPr="001D01D9" w:rsidRDefault="00FB5AAC" w:rsidP="00FB5AAC">
            <w:pPr>
              <w:pStyle w:val="BodyText"/>
              <w:spacing w:before="0" w:after="0" w:line="240" w:lineRule="auto"/>
              <w:jc w:val="both"/>
              <w:rPr>
                <w:rFonts w:ascii="Arial" w:hAnsi="Arial" w:cs="Arial"/>
                <w:szCs w:val="22"/>
                <w:lang w:val="en-GB"/>
              </w:rPr>
            </w:pPr>
          </w:p>
          <w:p w:rsidR="00FB5AAC" w:rsidRPr="001D01D9" w:rsidRDefault="0024668A" w:rsidP="00FB5AAC">
            <w:pPr>
              <w:pStyle w:val="BodyText"/>
              <w:spacing w:before="0" w:after="0" w:line="240" w:lineRule="auto"/>
              <w:jc w:val="both"/>
              <w:rPr>
                <w:rFonts w:ascii="Arial" w:hAnsi="Arial" w:cs="Arial"/>
                <w:szCs w:val="22"/>
                <w:lang w:val="en-GB"/>
              </w:rPr>
            </w:pPr>
            <w:r>
              <w:rPr>
                <w:rFonts w:ascii="Arial" w:hAnsi="Arial" w:cs="Arial"/>
                <w:szCs w:val="22"/>
                <w:lang w:val="en-GB"/>
              </w:rPr>
              <w:t>Once you call into the surgery to complete a Registration Form y</w:t>
            </w:r>
            <w:r w:rsidR="00FB5AAC" w:rsidRPr="001D01D9">
              <w:rPr>
                <w:rFonts w:ascii="Arial" w:hAnsi="Arial" w:cs="Arial"/>
                <w:szCs w:val="22"/>
                <w:lang w:val="en-GB"/>
              </w:rPr>
              <w:t>ou will be given login details, so you will need to think of a password which is unique to you.  This will ensure that only you are able to access your record – unless you choose to share your details with a family member or carer.</w:t>
            </w: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Pr="001101FB" w:rsidRDefault="00FB5AAC" w:rsidP="00FB5AAC">
            <w:pPr>
              <w:pStyle w:val="BodyText"/>
              <w:spacing w:before="0" w:after="0" w:line="240" w:lineRule="auto"/>
              <w:jc w:val="both"/>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I</w:t>
            </w:r>
            <w:r w:rsidRPr="001101FB">
              <w:rPr>
                <w:rFonts w:ascii="Arial" w:hAnsi="Arial" w:cs="Arial"/>
                <w:b/>
                <w:iCs/>
                <w:color w:val="365F91" w:themeColor="accent1" w:themeShade="BF"/>
                <w:szCs w:val="24"/>
                <w:lang w:val="en-GB"/>
              </w:rPr>
              <w:t>t will be your responsibility to keep your login details and password safe and secure.  If you know or suspect that your record has been accessed by someone that you have not agreed should see it, then you should change your password immediately.</w:t>
            </w:r>
          </w:p>
          <w:p w:rsidR="00FB5AAC" w:rsidRPr="001101FB" w:rsidRDefault="00FB5AAC" w:rsidP="00FB5AAC">
            <w:pPr>
              <w:pStyle w:val="BodyText"/>
              <w:spacing w:before="0" w:after="0" w:line="240" w:lineRule="auto"/>
              <w:jc w:val="both"/>
              <w:rPr>
                <w:rFonts w:ascii="Arial" w:hAnsi="Arial" w:cs="Arial"/>
                <w:b/>
                <w:iCs/>
                <w:color w:val="365F91" w:themeColor="accent1" w:themeShade="BF"/>
                <w:szCs w:val="24"/>
                <w:lang w:val="en-GB"/>
              </w:rPr>
            </w:pPr>
          </w:p>
          <w:p w:rsidR="00FB5AAC" w:rsidRPr="001101FB" w:rsidRDefault="00FB5AAC" w:rsidP="00FB5AAC">
            <w:pPr>
              <w:pStyle w:val="BodyText"/>
              <w:spacing w:before="0" w:after="0" w:line="240" w:lineRule="auto"/>
              <w:jc w:val="both"/>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If you can’t do this for some reason, we recommend that you contact the practice so that they can remove online access until you are able to reset your password.</w:t>
            </w:r>
          </w:p>
          <w:p w:rsidR="00FB5AAC" w:rsidRPr="001101FB" w:rsidRDefault="00FB5AAC" w:rsidP="00FB5AAC">
            <w:pPr>
              <w:pStyle w:val="BodyText"/>
              <w:spacing w:before="0" w:after="0" w:line="240" w:lineRule="auto"/>
              <w:jc w:val="both"/>
              <w:rPr>
                <w:rFonts w:ascii="Arial" w:hAnsi="Arial" w:cs="Arial"/>
                <w:b/>
                <w:iCs/>
                <w:color w:val="365F91" w:themeColor="accent1" w:themeShade="BF"/>
                <w:szCs w:val="24"/>
                <w:lang w:val="en-GB"/>
              </w:rPr>
            </w:pPr>
          </w:p>
          <w:p w:rsidR="00FB5AAC" w:rsidRPr="001101FB" w:rsidRDefault="00FB5AAC" w:rsidP="00FB5AAC">
            <w:pPr>
              <w:pStyle w:val="BodyText"/>
              <w:spacing w:before="0" w:after="0" w:line="240" w:lineRule="auto"/>
              <w:jc w:val="both"/>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Default="00FB5AAC" w:rsidP="001D01D9">
            <w:pPr>
              <w:pStyle w:val="BodyText"/>
              <w:spacing w:before="0" w:after="0" w:line="240" w:lineRule="auto"/>
              <w:rPr>
                <w:rFonts w:asciiTheme="minorBidi" w:hAnsiTheme="minorBidi" w:cstheme="minorBidi"/>
                <w:b/>
                <w:iCs/>
                <w:color w:val="365F91" w:themeColor="accent1" w:themeShade="BF"/>
                <w:szCs w:val="22"/>
                <w:lang w:val="en-GB"/>
              </w:rPr>
            </w:pPr>
          </w:p>
          <w:p w:rsidR="00FB5AAC" w:rsidRPr="001101FB" w:rsidRDefault="00FB5AAC" w:rsidP="00FB5AAC">
            <w:pPr>
              <w:pStyle w:val="BodyText"/>
              <w:spacing w:before="0" w:after="0" w:line="240" w:lineRule="auto"/>
              <w:jc w:val="center"/>
              <w:rPr>
                <w:rFonts w:ascii="Arial" w:hAnsi="Arial" w:cs="Arial"/>
                <w:b/>
                <w:iCs/>
                <w:color w:val="365F91" w:themeColor="accent1" w:themeShade="BF"/>
                <w:szCs w:val="22"/>
                <w:lang w:val="en-GB"/>
              </w:rPr>
            </w:pPr>
          </w:p>
          <w:p w:rsidR="00FB5AAC" w:rsidRDefault="00FB5AAC" w:rsidP="00FB5AAC">
            <w:pPr>
              <w:pStyle w:val="BodyText"/>
              <w:spacing w:before="0" w:after="0" w:line="240" w:lineRule="auto"/>
              <w:jc w:val="center"/>
              <w:rPr>
                <w:rFonts w:ascii="Arial" w:hAnsi="Arial" w:cs="Arial"/>
                <w:b/>
                <w:bCs/>
                <w:szCs w:val="24"/>
                <w:lang w:val="en-GB"/>
              </w:rPr>
            </w:pPr>
            <w:r w:rsidRPr="001101FB">
              <w:rPr>
                <w:rFonts w:ascii="Arial" w:hAnsi="Arial" w:cs="Arial"/>
                <w:b/>
                <w:bCs/>
                <w:szCs w:val="24"/>
                <w:lang w:val="en-GB"/>
              </w:rPr>
              <w:t xml:space="preserve">The practice has the right to remove online access to services </w:t>
            </w:r>
          </w:p>
          <w:p w:rsidR="00FB5AAC" w:rsidRPr="001101FB" w:rsidRDefault="00FB5AAC" w:rsidP="00FB5AAC">
            <w:pPr>
              <w:pStyle w:val="BodyText"/>
              <w:spacing w:before="0" w:after="0" w:line="240" w:lineRule="auto"/>
              <w:jc w:val="center"/>
              <w:rPr>
                <w:rFonts w:ascii="Arial" w:hAnsi="Arial" w:cs="Arial"/>
                <w:b/>
                <w:bCs/>
                <w:szCs w:val="24"/>
                <w:lang w:val="en-GB"/>
              </w:rPr>
            </w:pPr>
            <w:proofErr w:type="gramStart"/>
            <w:r w:rsidRPr="001101FB">
              <w:rPr>
                <w:rFonts w:ascii="Arial" w:hAnsi="Arial" w:cs="Arial"/>
                <w:b/>
                <w:bCs/>
                <w:szCs w:val="24"/>
                <w:lang w:val="en-GB"/>
              </w:rPr>
              <w:t>for</w:t>
            </w:r>
            <w:proofErr w:type="gramEnd"/>
            <w:r w:rsidRPr="001101FB">
              <w:rPr>
                <w:rFonts w:ascii="Arial" w:hAnsi="Arial" w:cs="Arial"/>
                <w:b/>
                <w:bCs/>
                <w:szCs w:val="24"/>
                <w:lang w:val="en-GB"/>
              </w:rPr>
              <w:t xml:space="preserve"> anyone that doesn’t use them responsibly.</w:t>
            </w:r>
          </w:p>
          <w:p w:rsidR="00FB5AAC" w:rsidRPr="001D01D9" w:rsidRDefault="00FB5AAC" w:rsidP="001D01D9">
            <w:pPr>
              <w:pStyle w:val="BodyText"/>
              <w:spacing w:before="0" w:after="0" w:line="240" w:lineRule="auto"/>
              <w:rPr>
                <w:rFonts w:asciiTheme="minorBidi" w:hAnsiTheme="minorBidi" w:cstheme="minorBidi"/>
                <w:b/>
                <w:iCs/>
                <w:szCs w:val="22"/>
                <w:highlight w:val="lightGray"/>
                <w:lang w:val="en-GB"/>
              </w:rPr>
            </w:pPr>
          </w:p>
        </w:tc>
        <w:bookmarkStart w:id="1" w:name="_Why_get_ready"/>
        <w:bookmarkEnd w:id="1"/>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p w:rsidR="00FB5AAC" w:rsidRDefault="00FB5AAC"/>
    <w:sectPr w:rsidR="00FB5AAC" w:rsidSect="00FB5AAC">
      <w:footerReference w:type="default" r:id="rId8"/>
      <w:headerReference w:type="first" r:id="rId9"/>
      <w:footerReference w:type="first" r:id="rId10"/>
      <w:pgSz w:w="11906" w:h="16838" w:code="9"/>
      <w:pgMar w:top="567" w:right="567" w:bottom="56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31" w:rsidRDefault="00362631" w:rsidP="00982EB1">
      <w:r>
        <w:separator/>
      </w:r>
    </w:p>
  </w:endnote>
  <w:endnote w:type="continuationSeparator" w:id="0">
    <w:p w:rsidR="00362631" w:rsidRDefault="00362631"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0B529E">
      <w:rPr>
        <w:sz w:val="18"/>
        <w:szCs w:val="18"/>
      </w:rPr>
      <w:t>v4  17</w:t>
    </w:r>
    <w:proofErr w:type="gramEnd"/>
    <w:r w:rsidR="000B529E">
      <w:rPr>
        <w:sz w:val="18"/>
        <w:szCs w:val="18"/>
      </w:rPr>
      <w:t xml:space="preserve"> February</w:t>
    </w:r>
    <w:r w:rsidR="000B529E" w:rsidRPr="004C4758">
      <w:rPr>
        <w:sz w:val="18"/>
        <w:szCs w:val="18"/>
      </w:rPr>
      <w:t xml:space="preserve">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FC" w:rsidRDefault="00CC15FC">
    <w:pPr>
      <w:pStyle w:val="Footer"/>
    </w:pPr>
    <w:r w:rsidRPr="00C631DF">
      <w:rPr>
        <w:sz w:val="18"/>
        <w:szCs w:val="18"/>
      </w:rPr>
      <w:t>1</w:t>
    </w:r>
    <w:r w:rsidRPr="00C631DF">
      <w:rPr>
        <w:sz w:val="18"/>
        <w:szCs w:val="18"/>
      </w:rPr>
      <w:tab/>
    </w:r>
    <w:r>
      <w:rPr>
        <w:sz w:val="18"/>
        <w:szCs w:val="18"/>
      </w:rPr>
      <w:t xml:space="preserve">    </w:t>
    </w:r>
    <w:r w:rsidRPr="00C631DF">
      <w:rPr>
        <w:sz w:val="18"/>
        <w:szCs w:val="18"/>
      </w:rPr>
      <w:tab/>
    </w:r>
    <w:r w:rsidR="00FB5AAC">
      <w:rPr>
        <w:sz w:val="18"/>
        <w:szCs w:val="18"/>
      </w:rPr>
      <w:t xml:space="preserve">DF – </w:t>
    </w:r>
    <w:proofErr w:type="gramStart"/>
    <w:r w:rsidR="000B529E">
      <w:rPr>
        <w:sz w:val="18"/>
        <w:szCs w:val="18"/>
      </w:rPr>
      <w:t>v</w:t>
    </w:r>
    <w:r w:rsidR="00FB5AAC">
      <w:rPr>
        <w:sz w:val="18"/>
        <w:szCs w:val="18"/>
      </w:rPr>
      <w:t>1</w:t>
    </w:r>
    <w:r w:rsidR="000B529E">
      <w:rPr>
        <w:sz w:val="18"/>
        <w:szCs w:val="18"/>
      </w:rPr>
      <w:t xml:space="preserve">  </w:t>
    </w:r>
    <w:r w:rsidR="00FB5AAC">
      <w:rPr>
        <w:sz w:val="18"/>
        <w:szCs w:val="18"/>
      </w:rPr>
      <w:t>22</w:t>
    </w:r>
    <w:proofErr w:type="gramEnd"/>
    <w:r w:rsidR="00FB5AAC">
      <w:rPr>
        <w:sz w:val="18"/>
        <w:szCs w:val="18"/>
      </w:rPr>
      <w:t>/10/15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31" w:rsidRDefault="00362631" w:rsidP="00982EB1">
      <w:r>
        <w:separator/>
      </w:r>
    </w:p>
  </w:footnote>
  <w:footnote w:type="continuationSeparator" w:id="0">
    <w:p w:rsidR="00362631" w:rsidRDefault="00362631"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47ABA"/>
    <w:rsid w:val="001533C6"/>
    <w:rsid w:val="001822EE"/>
    <w:rsid w:val="001852A3"/>
    <w:rsid w:val="001D01D9"/>
    <w:rsid w:val="001D0618"/>
    <w:rsid w:val="001D1E48"/>
    <w:rsid w:val="001F4572"/>
    <w:rsid w:val="00202E40"/>
    <w:rsid w:val="002317C6"/>
    <w:rsid w:val="0024668A"/>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2631"/>
    <w:rsid w:val="00367BC5"/>
    <w:rsid w:val="003774A8"/>
    <w:rsid w:val="003778DA"/>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07900"/>
    <w:rsid w:val="005172AB"/>
    <w:rsid w:val="00527C98"/>
    <w:rsid w:val="00546A72"/>
    <w:rsid w:val="00587A7E"/>
    <w:rsid w:val="00594142"/>
    <w:rsid w:val="00594ECF"/>
    <w:rsid w:val="005A158E"/>
    <w:rsid w:val="005B2C67"/>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8F67E9"/>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66169"/>
    <w:rsid w:val="00C77A21"/>
    <w:rsid w:val="00CA20A8"/>
    <w:rsid w:val="00CB58A1"/>
    <w:rsid w:val="00CC15FC"/>
    <w:rsid w:val="00CC19E1"/>
    <w:rsid w:val="00CF5200"/>
    <w:rsid w:val="00D072DA"/>
    <w:rsid w:val="00D10740"/>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65406"/>
    <w:rsid w:val="00F731EA"/>
    <w:rsid w:val="00F92839"/>
    <w:rsid w:val="00F935AD"/>
    <w:rsid w:val="00FB5AAC"/>
    <w:rsid w:val="00FE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ED98449"/>
  <w15:docId w15:val="{D3D5D642-8BA2-44EE-873D-B2E406FD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DF0B-35BA-4619-9109-725213AA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Margaret Nicolson</cp:lastModifiedBy>
  <cp:revision>3</cp:revision>
  <cp:lastPrinted>2014-07-31T10:58:00Z</cp:lastPrinted>
  <dcterms:created xsi:type="dcterms:W3CDTF">2023-08-18T13:07:00Z</dcterms:created>
  <dcterms:modified xsi:type="dcterms:W3CDTF">2023-08-18T14:59:00Z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